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sz w:val="44"/>
          <w:szCs w:val="44"/>
        </w:rPr>
      </w:pPr>
      <w:r>
        <w:rPr>
          <w:sz w:val="44"/>
          <w:szCs w:val="44"/>
        </w:rPr>
        <mc:AlternateContent>
          <mc:Choice Requires="wps">
            <w:drawing>
              <wp:anchor distT="0" distB="0" distL="114300" distR="114300" simplePos="0" relativeHeight="251660288" behindDoc="1" locked="0" layoutInCell="1" allowOverlap="0">
                <wp:simplePos x="0" y="0"/>
                <wp:positionH relativeFrom="column">
                  <wp:posOffset>-685800</wp:posOffset>
                </wp:positionH>
                <wp:positionV relativeFrom="paragraph">
                  <wp:posOffset>-198120</wp:posOffset>
                </wp:positionV>
                <wp:extent cx="848995" cy="8519160"/>
                <wp:effectExtent l="4445" t="4445" r="22860" b="10795"/>
                <wp:wrapSquare wrapText="right"/>
                <wp:docPr id="2" name="文本框 2"/>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 xml:space="preserve">试卷         </w:t>
                            </w:r>
                            <w:r>
                              <w:rPr>
                                <w:rFonts w:hint="eastAsia"/>
                                <w:lang w:eastAsia="zh-CN"/>
                              </w:rPr>
                              <w:t>专业</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54pt;margin-top:-15.6pt;height:670.8pt;width:66.85pt;mso-wrap-distance-bottom:0pt;mso-wrap-distance-left:9pt;mso-wrap-distance-right:9pt;mso-wrap-distance-top:0pt;z-index:-251656192;mso-width-relative:page;mso-height-relative:page;" fillcolor="#FFFFFF" filled="t" stroked="t" coordsize="21600,21600" o:allowoverlap="f" o:gfxdata="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20KmK9kAAAAMAQAADwAAAAAAAAABACAAAAAiAAAAZHJzL2Rvd25yZXYueG1sUEsB&#10;AhQAFAAAAAgAh07iQHCp7+/0AQAA9AMAAA4AAAAAAAAAAQAgAAAAKAEAAGRycy9lMm9Eb2MueG1s&#10;UEsFBgAAAAAGAAYAWQEAAI4FA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 xml:space="preserve">试卷         </w:t>
                      </w:r>
                      <w:r>
                        <w:rPr>
                          <w:rFonts w:hint="eastAsia"/>
                          <w:lang w:eastAsia="zh-CN"/>
                        </w:rPr>
                        <w:t>专业</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left="540"/>
        <w:jc w:val="center"/>
        <w:rPr>
          <w:rFonts w:hint="eastAsia" w:ascii="黑体" w:hAnsi="宋体" w:eastAsia="黑体"/>
          <w:sz w:val="30"/>
        </w:rPr>
      </w:pPr>
      <w:r>
        <w:rPr>
          <w:rFonts w:hint="eastAsia" w:ascii="黑体" w:hAnsi="宋体" w:eastAsia="黑体"/>
          <w:sz w:val="36"/>
        </w:rPr>
        <w:t xml:space="preserve">《 </w:t>
      </w:r>
      <w:r>
        <w:rPr>
          <w:rFonts w:hint="eastAsia" w:ascii="黑体" w:hAnsi="宋体" w:eastAsia="黑体"/>
          <w:sz w:val="36"/>
          <w:lang w:eastAsia="zh-CN"/>
        </w:rPr>
        <w:t>仪器分析</w:t>
      </w:r>
      <w:r>
        <w:rPr>
          <w:rFonts w:hint="eastAsia" w:ascii="黑体" w:hAnsi="宋体" w:eastAsia="黑体"/>
          <w:sz w:val="36"/>
        </w:rPr>
        <w:t xml:space="preserve"> 》课程考试试卷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4</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rPr>
        <w:t xml:space="preserve"> 3、姓名、学号必须写在指定地方 </w:t>
      </w:r>
    </w:p>
    <w:p>
      <w:pPr>
        <w:ind w:firstLine="315" w:firstLineChars="150"/>
        <w:rPr>
          <w:rFonts w:hint="eastAsia"/>
        </w:rPr>
      </w:pPr>
      <w:r>
        <w:rPr>
          <w:rFonts w:hint="eastAsia" w:cs="宋体"/>
        </w:rPr>
        <w:t xml:space="preserve">任课教师：   </w:t>
      </w:r>
      <w:r>
        <w:t xml:space="preserve"> </w:t>
      </w:r>
      <w:r>
        <w:rPr>
          <w:rFonts w:hint="eastAsia"/>
        </w:rPr>
        <w:t xml:space="preserve">      </w:t>
      </w:r>
      <w:r>
        <w:t xml:space="preserve"> </w:t>
      </w:r>
      <w:r>
        <w:rPr>
          <w:rFonts w:hint="eastAsia"/>
        </w:rPr>
        <w:t>考试方式：</w:t>
      </w:r>
      <w:r>
        <w:rPr>
          <w:rFonts w:hint="eastAsia"/>
          <w:u w:val="single"/>
        </w:rPr>
        <w:t>闭卷</w:t>
      </w:r>
      <w:r>
        <w:t xml:space="preserve">  </w:t>
      </w:r>
      <w:r>
        <w:rPr>
          <w:rFonts w:hint="eastAsia"/>
        </w:rPr>
        <w:t xml:space="preserve">  </w:t>
      </w:r>
      <w:r>
        <w:rPr>
          <w:rFonts w:hint="eastAsia" w:cs="宋体"/>
        </w:rPr>
        <w:t>授课年级或班级：</w:t>
      </w:r>
    </w:p>
    <w:p>
      <w:r>
        <w:rPr>
          <w:rFonts w:hint="eastAsia"/>
        </w:rPr>
        <w:t xml:space="preserve">  </w:t>
      </w:r>
    </w:p>
    <w:tbl>
      <w:tblPr>
        <w:tblStyle w:val="5"/>
        <w:tblpPr w:leftFromText="180" w:rightFromText="180" w:vertAnchor="page" w:horzAnchor="page" w:tblpX="2293" w:tblpY="4323"/>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rPr>
          <w:rFonts w:hint="eastAsia"/>
        </w:rPr>
      </w:pPr>
    </w:p>
    <w:p>
      <w:pPr>
        <w:rPr>
          <w:rFonts w:hint="eastAsia" w:ascii="黑体" w:eastAsia="黑体"/>
          <w:b/>
        </w:rPr>
      </w:pPr>
    </w:p>
    <w:p>
      <w:pPr>
        <w:rPr>
          <w:rFonts w:hint="eastAsia" w:ascii="黑体" w:eastAsia="黑体"/>
          <w:b/>
        </w:rPr>
      </w:pPr>
    </w:p>
    <w:tbl>
      <w:tblPr>
        <w:tblStyle w:val="5"/>
        <w:tblpPr w:leftFromText="180" w:rightFromText="180" w:vertAnchor="text" w:horzAnchor="page" w:tblpX="2296" w:tblpY="81"/>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keepNext w:val="0"/>
        <w:keepLines w:val="0"/>
        <w:pageBreakBefore w:val="0"/>
        <w:widowControl w:val="0"/>
        <w:numPr>
          <w:ilvl w:val="0"/>
          <w:numId w:val="1"/>
        </w:numPr>
        <w:kinsoku/>
        <w:wordWrap/>
        <w:overflowPunct/>
        <w:topLinePunct w:val="0"/>
        <w:autoSpaceDE/>
        <w:autoSpaceDN/>
        <w:bidi w:val="0"/>
        <w:adjustRightInd/>
        <w:snapToGrid/>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 xml:space="preserve">选择题 </w:t>
      </w:r>
      <w:r>
        <w:rPr>
          <w:rFonts w:hint="eastAsia" w:ascii="宋体" w:hAnsi="宋体" w:eastAsia="宋体" w:cs="宋体"/>
          <w:b/>
          <w:bCs/>
          <w:sz w:val="24"/>
          <w:szCs w:val="24"/>
          <w:lang w:eastAsia="zh-CN"/>
        </w:rPr>
        <w:t>（共</w:t>
      </w:r>
      <w:r>
        <w:rPr>
          <w:rFonts w:hint="eastAsia" w:ascii="宋体" w:hAnsi="宋体" w:eastAsia="宋体" w:cs="宋体"/>
          <w:b/>
          <w:bCs/>
          <w:sz w:val="24"/>
          <w:szCs w:val="24"/>
          <w:lang w:val="en-US" w:eastAsia="zh-CN"/>
        </w:rPr>
        <w:t>10分</w:t>
      </w:r>
      <w:r>
        <w:rPr>
          <w:rFonts w:hint="eastAsia" w:ascii="宋体" w:hAnsi="宋体" w:eastAsia="宋体" w:cs="宋体"/>
          <w:b/>
          <w:bCs/>
          <w:sz w:val="24"/>
          <w:szCs w:val="24"/>
          <w:lang w:eastAsia="zh-CN"/>
        </w:rPr>
        <w:t>）</w:t>
      </w:r>
      <w:r>
        <w:rPr>
          <w:rFonts w:hint="eastAsia" w:ascii="宋体" w:hAnsi="宋体" w:eastAsia="宋体" w:cs="宋体"/>
          <w:b/>
          <w:bCs/>
          <w:sz w:val="24"/>
          <w:szCs w:val="24"/>
        </w:rPr>
        <w:t xml:space="preserve"> </w:t>
      </w:r>
    </w:p>
    <w:p>
      <w:pPr>
        <w:keepNext w:val="0"/>
        <w:keepLines w:val="0"/>
        <w:pageBreakBefore w:val="0"/>
        <w:widowControl w:val="0"/>
        <w:numPr>
          <w:ilvl w:val="0"/>
          <w:numId w:val="2"/>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人眼感觉到的光称为可见光，其波长范围是(         )。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 xml:space="preserve">.200-400nm       </w:t>
      </w:r>
      <w:r>
        <w:rPr>
          <w:rFonts w:hint="eastAsia" w:ascii="宋体" w:hAnsi="宋体" w:eastAsia="宋体" w:cs="宋体"/>
          <w:sz w:val="24"/>
          <w:szCs w:val="24"/>
          <w:lang w:val="en-US" w:eastAsia="zh-CN"/>
        </w:rPr>
        <w:t>B</w:t>
      </w:r>
      <w:r>
        <w:rPr>
          <w:rFonts w:hint="eastAsia" w:ascii="宋体" w:hAnsi="宋体" w:eastAsia="宋体" w:cs="宋体"/>
          <w:sz w:val="24"/>
          <w:szCs w:val="24"/>
        </w:rPr>
        <w:t xml:space="preserve">.400-750nm         </w:t>
      </w:r>
      <w:r>
        <w:rPr>
          <w:rFonts w:hint="eastAsia" w:ascii="宋体" w:hAnsi="宋体" w:eastAsia="宋体" w:cs="宋体"/>
          <w:sz w:val="24"/>
          <w:szCs w:val="24"/>
          <w:lang w:val="en-US" w:eastAsia="zh-CN"/>
        </w:rPr>
        <w:t>C</w:t>
      </w:r>
      <w:r>
        <w:rPr>
          <w:rFonts w:hint="eastAsia" w:ascii="宋体" w:hAnsi="宋体" w:eastAsia="宋体" w:cs="宋体"/>
          <w:sz w:val="24"/>
          <w:szCs w:val="24"/>
        </w:rPr>
        <w:t xml:space="preserve">.10-200nm      </w:t>
      </w:r>
      <w:r>
        <w:rPr>
          <w:rFonts w:hint="eastAsia" w:ascii="宋体" w:hAnsi="宋体" w:eastAsia="宋体" w:cs="宋体"/>
          <w:sz w:val="24"/>
          <w:szCs w:val="24"/>
          <w:lang w:val="en-US" w:eastAsia="zh-CN"/>
        </w:rPr>
        <w:t>D</w:t>
      </w:r>
      <w:r>
        <w:rPr>
          <w:rFonts w:hint="eastAsia" w:ascii="宋体" w:hAnsi="宋体" w:eastAsia="宋体" w:cs="宋体"/>
          <w:sz w:val="24"/>
          <w:szCs w:val="24"/>
        </w:rPr>
        <w:t xml:space="preserve">.750-2500nm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keepNext w:val="0"/>
        <w:keepLines w:val="0"/>
        <w:pageBreakBefore w:val="0"/>
        <w:widowControl w:val="0"/>
        <w:numPr>
          <w:ilvl w:val="0"/>
          <w:numId w:val="2"/>
        </w:numPr>
        <w:tabs>
          <w:tab w:val="clear" w:pos="312"/>
        </w:tabs>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物质的颜色是由于选择性地吸收了白光中的某些波长的光所致。KMnO4显紫红色是由于它吸收白光中的(         )。  </w:t>
      </w:r>
    </w:p>
    <w:p>
      <w:pPr>
        <w:keepNext w:val="0"/>
        <w:keepLines w:val="0"/>
        <w:pageBreakBefore w:val="0"/>
        <w:widowControl w:val="0"/>
        <w:numPr>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 xml:space="preserve">紫红色光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B</w:t>
      </w:r>
      <w:r>
        <w:rPr>
          <w:rFonts w:hint="eastAsia" w:ascii="宋体" w:hAnsi="宋体" w:eastAsia="宋体" w:cs="宋体"/>
          <w:sz w:val="24"/>
          <w:szCs w:val="24"/>
        </w:rPr>
        <w:t xml:space="preserve">.绿色光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C</w:t>
      </w:r>
      <w:r>
        <w:rPr>
          <w:rFonts w:hint="eastAsia" w:ascii="宋体" w:hAnsi="宋体" w:eastAsia="宋体" w:cs="宋体"/>
          <w:sz w:val="24"/>
          <w:szCs w:val="24"/>
        </w:rPr>
        <w:t xml:space="preserve">.黄色光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D</w:t>
      </w:r>
      <w:r>
        <w:rPr>
          <w:rFonts w:hint="eastAsia" w:ascii="宋体" w:hAnsi="宋体" w:eastAsia="宋体" w:cs="宋体"/>
          <w:sz w:val="24"/>
          <w:szCs w:val="24"/>
        </w:rPr>
        <w:t xml:space="preserve">.蓝色光 </w:t>
      </w:r>
    </w:p>
    <w:p>
      <w:pPr>
        <w:keepNext w:val="0"/>
        <w:keepLines w:val="0"/>
        <w:pageBreakBefore w:val="0"/>
        <w:widowControl w:val="0"/>
        <w:numPr>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3"/>
        </w:numPr>
        <w:tabs>
          <w:tab w:val="clear" w:pos="312"/>
        </w:tabs>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吸收曲线是(         )。  </w:t>
      </w:r>
    </w:p>
    <w:p>
      <w:pPr>
        <w:keepNext w:val="0"/>
        <w:keepLines w:val="0"/>
        <w:pageBreakBefore w:val="0"/>
        <w:widowControl w:val="0"/>
        <w:numPr>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吸光物质浓度与吸光度之间的关系曲线；</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B</w:t>
      </w:r>
      <w:r>
        <w:rPr>
          <w:rFonts w:hint="eastAsia" w:ascii="宋体" w:hAnsi="宋体" w:eastAsia="宋体" w:cs="宋体"/>
          <w:sz w:val="24"/>
          <w:szCs w:val="24"/>
        </w:rPr>
        <w:t>.吸光物质浓度与透光度之间的关系曲线</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C</w:t>
      </w:r>
      <w:r>
        <w:rPr>
          <w:rFonts w:hint="eastAsia" w:ascii="宋体" w:hAnsi="宋体" w:eastAsia="宋体" w:cs="宋体"/>
          <w:sz w:val="24"/>
          <w:szCs w:val="24"/>
        </w:rPr>
        <w:t xml:space="preserve">.入射光波长与吸光物质溶液厚度之间的关系曲线；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D</w:t>
      </w:r>
      <w:r>
        <w:rPr>
          <w:rFonts w:hint="eastAsia" w:ascii="宋体" w:hAnsi="宋体" w:eastAsia="宋体" w:cs="宋体"/>
          <w:sz w:val="24"/>
          <w:szCs w:val="24"/>
        </w:rPr>
        <w:t xml:space="preserve">.入射光波长与吸光物质的吸光度之间的关系曲线。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keepNext w:val="0"/>
        <w:keepLines w:val="0"/>
        <w:pageBreakBefore w:val="0"/>
        <w:widowControl w:val="0"/>
        <w:numPr>
          <w:ilvl w:val="0"/>
          <w:numId w:val="4"/>
        </w:numPr>
        <w:tabs>
          <w:tab w:val="clear" w:pos="312"/>
        </w:tabs>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下因素中，影响摩尔吸光系数（ε）大小的是 (         )。 </w:t>
      </w:r>
    </w:p>
    <w:p>
      <w:pPr>
        <w:keepNext w:val="0"/>
        <w:keepLines w:val="0"/>
        <w:pageBreakBefore w:val="0"/>
        <w:widowControl w:val="0"/>
        <w:numPr>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 xml:space="preserve">有色配合物的浓度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B</w:t>
      </w:r>
      <w:r>
        <w:rPr>
          <w:rFonts w:hint="eastAsia" w:ascii="宋体" w:hAnsi="宋体" w:eastAsia="宋体" w:cs="宋体"/>
          <w:sz w:val="24"/>
          <w:szCs w:val="24"/>
        </w:rPr>
        <w:t>.入射光强度</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C</w:t>
      </w:r>
      <w:r>
        <w:rPr>
          <w:rFonts w:hint="eastAsia" w:ascii="宋体" w:hAnsi="宋体" w:eastAsia="宋体" w:cs="宋体"/>
          <w:sz w:val="24"/>
          <w:szCs w:val="24"/>
        </w:rPr>
        <w:t>.比色皿厚度</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D</w:t>
      </w:r>
      <w:r>
        <w:rPr>
          <w:rFonts w:hint="eastAsia" w:ascii="宋体" w:hAnsi="宋体" w:eastAsia="宋体" w:cs="宋体"/>
          <w:sz w:val="24"/>
          <w:szCs w:val="24"/>
        </w:rPr>
        <w:t xml:space="preserve">.入射光波长  </w:t>
      </w:r>
    </w:p>
    <w:p>
      <w:pPr>
        <w:keepNext w:val="0"/>
        <w:keepLines w:val="0"/>
        <w:pageBreakBefore w:val="0"/>
        <w:widowControl w:val="0"/>
        <w:numPr>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5"/>
        </w:numPr>
        <w:tabs>
          <w:tab w:val="clear" w:pos="312"/>
        </w:tabs>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有一浓度为C的溶液，吸收入射光的40%，在同样条件下，溶液浓度为0.5C的同一溶液的透光度为(         )。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 xml:space="preserve">.30%         </w:t>
      </w:r>
      <w:r>
        <w:rPr>
          <w:rFonts w:hint="eastAsia" w:ascii="宋体" w:hAnsi="宋体" w:eastAsia="宋体" w:cs="宋体"/>
          <w:sz w:val="24"/>
          <w:szCs w:val="24"/>
          <w:lang w:val="en-US" w:eastAsia="zh-CN"/>
        </w:rPr>
        <w:t>B</w:t>
      </w:r>
      <w:r>
        <w:rPr>
          <w:rFonts w:hint="eastAsia" w:ascii="宋体" w:hAnsi="宋体" w:eastAsia="宋体" w:cs="宋体"/>
          <w:sz w:val="24"/>
          <w:szCs w:val="24"/>
        </w:rPr>
        <w:t xml:space="preserve">.20%       </w:t>
      </w:r>
      <w:r>
        <w:rPr>
          <w:rFonts w:hint="eastAsia" w:ascii="宋体" w:hAnsi="宋体" w:eastAsia="宋体" w:cs="宋体"/>
          <w:sz w:val="24"/>
          <w:szCs w:val="24"/>
          <w:lang w:val="en-US" w:eastAsia="zh-CN"/>
        </w:rPr>
        <w:t>C</w:t>
      </w:r>
      <w:r>
        <w:rPr>
          <w:rFonts w:hint="eastAsia" w:ascii="宋体" w:hAnsi="宋体" w:eastAsia="宋体" w:cs="宋体"/>
          <w:sz w:val="24"/>
          <w:szCs w:val="24"/>
        </w:rPr>
        <w:t xml:space="preserve">.77%       </w:t>
      </w:r>
      <w:r>
        <w:rPr>
          <w:rFonts w:hint="eastAsia" w:ascii="宋体" w:hAnsi="宋体" w:eastAsia="宋体" w:cs="宋体"/>
          <w:sz w:val="24"/>
          <w:szCs w:val="24"/>
          <w:lang w:val="en-US" w:eastAsia="zh-CN"/>
        </w:rPr>
        <w:t>D</w:t>
      </w:r>
      <w:r>
        <w:rPr>
          <w:rFonts w:hint="eastAsia" w:ascii="宋体" w:hAnsi="宋体" w:eastAsia="宋体" w:cs="宋体"/>
          <w:sz w:val="24"/>
          <w:szCs w:val="24"/>
        </w:rPr>
        <w:t xml:space="preserve">.36%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5"/>
        </w:numPr>
        <w:tabs>
          <w:tab w:val="clear" w:pos="312"/>
        </w:tabs>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现有不同浓度的KMnO4溶液A、B，在同一波长下测定，若A用１cm比色皿，B用2cm比色皿，而测得的吸光度相同，则它们浓度关系为(         )。  </w:t>
      </w:r>
    </w:p>
    <w:p>
      <w:pPr>
        <w:keepNext w:val="0"/>
        <w:keepLines w:val="0"/>
        <w:pageBreakBefore w:val="0"/>
        <w:widowControl w:val="0"/>
        <w:numPr>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 xml:space="preserve">CA=CB       </w:t>
      </w:r>
      <w:r>
        <w:rPr>
          <w:rFonts w:hint="eastAsia" w:ascii="宋体" w:hAnsi="宋体" w:eastAsia="宋体" w:cs="宋体"/>
          <w:sz w:val="24"/>
          <w:szCs w:val="24"/>
          <w:lang w:val="en-US" w:eastAsia="zh-CN"/>
        </w:rPr>
        <w:t>B</w:t>
      </w:r>
      <w:r>
        <w:rPr>
          <w:rFonts w:hint="eastAsia" w:ascii="宋体" w:hAnsi="宋体" w:eastAsia="宋体" w:cs="宋体"/>
          <w:sz w:val="24"/>
          <w:szCs w:val="24"/>
        </w:rPr>
        <w:t xml:space="preserve">.CA=2CB       </w:t>
      </w:r>
      <w:r>
        <w:rPr>
          <w:rFonts w:hint="eastAsia" w:ascii="宋体" w:hAnsi="宋体" w:eastAsia="宋体" w:cs="宋体"/>
          <w:sz w:val="24"/>
          <w:szCs w:val="24"/>
          <w:lang w:val="en-US" w:eastAsia="zh-CN"/>
        </w:rPr>
        <w:t>C</w:t>
      </w:r>
      <w:r>
        <w:rPr>
          <w:rFonts w:hint="eastAsia" w:ascii="宋体" w:hAnsi="宋体" w:eastAsia="宋体" w:cs="宋体"/>
          <w:sz w:val="24"/>
          <w:szCs w:val="24"/>
        </w:rPr>
        <w:t xml:space="preserve">.CB=2CA      </w:t>
      </w:r>
      <w:r>
        <w:rPr>
          <w:rFonts w:hint="eastAsia" w:ascii="宋体" w:hAnsi="宋体" w:eastAsia="宋体" w:cs="宋体"/>
          <w:sz w:val="24"/>
          <w:szCs w:val="24"/>
          <w:lang w:val="en-US" w:eastAsia="zh-CN"/>
        </w:rPr>
        <w:t>D</w:t>
      </w:r>
      <w:r>
        <w:rPr>
          <w:rFonts w:hint="eastAsia" w:ascii="宋体" w:hAnsi="宋体" w:eastAsia="宋体" w:cs="宋体"/>
          <w:sz w:val="24"/>
          <w:szCs w:val="24"/>
        </w:rPr>
        <w:t xml:space="preserve">.1/2CB=CA  </w:t>
      </w:r>
    </w:p>
    <w:p>
      <w:pPr>
        <w:keepNext w:val="0"/>
        <w:keepLines w:val="0"/>
        <w:pageBreakBefore w:val="0"/>
        <w:widowControl w:val="0"/>
        <w:numPr>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6"/>
        </w:numPr>
        <w:tabs>
          <w:tab w:val="clear" w:pos="312"/>
        </w:tabs>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某试液用１cm 比色皿测量时，T=60%，若改用2cm比色皿测量，则A和T分别为 (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 xml:space="preserve">.0.44和36%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B</w:t>
      </w:r>
      <w:r>
        <w:rPr>
          <w:rFonts w:hint="eastAsia" w:ascii="宋体" w:hAnsi="宋体" w:eastAsia="宋体" w:cs="宋体"/>
          <w:sz w:val="24"/>
          <w:szCs w:val="24"/>
        </w:rPr>
        <w:t xml:space="preserve">.0.22和36%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C</w:t>
      </w:r>
      <w:r>
        <w:rPr>
          <w:rFonts w:hint="eastAsia" w:ascii="宋体" w:hAnsi="宋体" w:eastAsia="宋体" w:cs="宋体"/>
          <w:sz w:val="24"/>
          <w:szCs w:val="24"/>
        </w:rPr>
        <w:t xml:space="preserve">.0.44和30%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D</w:t>
      </w:r>
      <w:r>
        <w:rPr>
          <w:rFonts w:hint="eastAsia" w:ascii="宋体" w:hAnsi="宋体" w:eastAsia="宋体" w:cs="宋体"/>
          <w:sz w:val="24"/>
          <w:szCs w:val="24"/>
        </w:rPr>
        <w:t xml:space="preserve">.0.44和120%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6"/>
        </w:numPr>
        <w:tabs>
          <w:tab w:val="clear" w:pos="312"/>
        </w:tabs>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在吸光度测量中，参比溶液的(         ) 。  </w:t>
      </w:r>
    </w:p>
    <w:p>
      <w:pPr>
        <w:keepNext w:val="0"/>
        <w:keepLines w:val="0"/>
        <w:pageBreakBefore w:val="0"/>
        <w:widowControl w:val="0"/>
        <w:numPr>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 xml:space="preserve">吸光度为0.434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B</w:t>
      </w:r>
      <w:r>
        <w:rPr>
          <w:rFonts w:hint="eastAsia" w:ascii="宋体" w:hAnsi="宋体" w:eastAsia="宋体" w:cs="宋体"/>
          <w:sz w:val="24"/>
          <w:szCs w:val="24"/>
        </w:rPr>
        <w:t xml:space="preserve">.吸光度为无穷大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C</w:t>
      </w:r>
      <w:r>
        <w:rPr>
          <w:rFonts w:hint="eastAsia" w:ascii="宋体" w:hAnsi="宋体" w:eastAsia="宋体" w:cs="宋体"/>
          <w:sz w:val="24"/>
          <w:szCs w:val="24"/>
        </w:rPr>
        <w:t xml:space="preserve">.透光度为100%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D</w:t>
      </w:r>
      <w:r>
        <w:rPr>
          <w:rFonts w:hint="eastAsia" w:ascii="宋体" w:hAnsi="宋体" w:eastAsia="宋体" w:cs="宋体"/>
          <w:sz w:val="24"/>
          <w:szCs w:val="24"/>
        </w:rPr>
        <w:t xml:space="preserve">.透光度为0% </w:t>
      </w:r>
    </w:p>
    <w:p>
      <w:pPr>
        <w:keepNext w:val="0"/>
        <w:keepLines w:val="0"/>
        <w:pageBreakBefore w:val="0"/>
        <w:widowControl w:val="0"/>
        <w:numPr>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7"/>
        </w:numPr>
        <w:tabs>
          <w:tab w:val="clear" w:pos="312"/>
        </w:tabs>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在光度分析法中，宜选用的吸光度读数范围为 (         )。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 xml:space="preserve">.0.2-0.7        </w:t>
      </w:r>
      <w:r>
        <w:rPr>
          <w:rFonts w:hint="eastAsia" w:ascii="宋体" w:hAnsi="宋体" w:eastAsia="宋体" w:cs="宋体"/>
          <w:sz w:val="24"/>
          <w:szCs w:val="24"/>
          <w:lang w:val="en-US" w:eastAsia="zh-CN"/>
        </w:rPr>
        <w:t>B</w:t>
      </w:r>
      <w:r>
        <w:rPr>
          <w:rFonts w:hint="eastAsia" w:ascii="宋体" w:hAnsi="宋体" w:eastAsia="宋体" w:cs="宋体"/>
          <w:sz w:val="24"/>
          <w:szCs w:val="24"/>
        </w:rPr>
        <w:t xml:space="preserve">.0.2-2.0        </w:t>
      </w:r>
      <w:r>
        <w:rPr>
          <w:rFonts w:hint="eastAsia" w:ascii="宋体" w:hAnsi="宋体" w:eastAsia="宋体" w:cs="宋体"/>
          <w:sz w:val="24"/>
          <w:szCs w:val="24"/>
          <w:lang w:val="en-US" w:eastAsia="zh-CN"/>
        </w:rPr>
        <w:t>C</w:t>
      </w:r>
      <w:r>
        <w:rPr>
          <w:rFonts w:hint="eastAsia" w:ascii="宋体" w:hAnsi="宋体" w:eastAsia="宋体" w:cs="宋体"/>
          <w:sz w:val="24"/>
          <w:szCs w:val="24"/>
        </w:rPr>
        <w:t xml:space="preserve">.0.3-1.0      </w:t>
      </w:r>
      <w:r>
        <w:rPr>
          <w:rFonts w:hint="eastAsia" w:ascii="宋体" w:hAnsi="宋体" w:eastAsia="宋体" w:cs="宋体"/>
          <w:sz w:val="24"/>
          <w:szCs w:val="24"/>
          <w:lang w:val="en-US" w:eastAsia="zh-CN"/>
        </w:rPr>
        <w:t>D</w:t>
      </w:r>
      <w:r>
        <w:rPr>
          <w:rFonts w:hint="eastAsia" w:ascii="宋体" w:hAnsi="宋体" w:eastAsia="宋体" w:cs="宋体"/>
          <w:sz w:val="24"/>
          <w:szCs w:val="24"/>
        </w:rPr>
        <w:t xml:space="preserve">.1.0-2.0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7"/>
        </w:numPr>
        <w:tabs>
          <w:tab w:val="clear" w:pos="312"/>
        </w:tabs>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在吸光光度法中，当A= (         ) 时，浓度测量的相对误差最小。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 xml:space="preserve">.0.343            </w:t>
      </w:r>
      <w:r>
        <w:rPr>
          <w:rFonts w:hint="eastAsia" w:ascii="宋体" w:hAnsi="宋体" w:eastAsia="宋体" w:cs="宋体"/>
          <w:sz w:val="24"/>
          <w:szCs w:val="24"/>
          <w:lang w:val="en-US" w:eastAsia="zh-CN"/>
        </w:rPr>
        <w:t>B</w:t>
      </w:r>
      <w:r>
        <w:rPr>
          <w:rFonts w:hint="eastAsia" w:ascii="宋体" w:hAnsi="宋体" w:eastAsia="宋体" w:cs="宋体"/>
          <w:sz w:val="24"/>
          <w:szCs w:val="24"/>
        </w:rPr>
        <w:t xml:space="preserve">.0.434         </w:t>
      </w:r>
      <w:r>
        <w:rPr>
          <w:rFonts w:hint="eastAsia" w:ascii="宋体" w:hAnsi="宋体" w:eastAsia="宋体" w:cs="宋体"/>
          <w:sz w:val="24"/>
          <w:szCs w:val="24"/>
          <w:lang w:val="en-US" w:eastAsia="zh-CN"/>
        </w:rPr>
        <w:t>C</w:t>
      </w:r>
      <w:r>
        <w:rPr>
          <w:rFonts w:hint="eastAsia" w:ascii="宋体" w:hAnsi="宋体" w:eastAsia="宋体" w:cs="宋体"/>
          <w:sz w:val="24"/>
          <w:szCs w:val="24"/>
        </w:rPr>
        <w:t xml:space="preserve">.0.443      </w:t>
      </w:r>
      <w:r>
        <w:rPr>
          <w:rFonts w:hint="eastAsia" w:ascii="宋体" w:hAnsi="宋体" w:eastAsia="宋体" w:cs="宋体"/>
          <w:sz w:val="24"/>
          <w:szCs w:val="24"/>
          <w:lang w:val="en-US" w:eastAsia="zh-CN"/>
        </w:rPr>
        <w:t>D</w:t>
      </w:r>
      <w:r>
        <w:rPr>
          <w:rFonts w:hint="eastAsia" w:ascii="宋体" w:hAnsi="宋体" w:eastAsia="宋体" w:cs="宋体"/>
          <w:sz w:val="24"/>
          <w:szCs w:val="24"/>
        </w:rPr>
        <w:t xml:space="preserve">.0.334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numId w:val="0"/>
        </w:numPr>
        <w:kinsoku/>
        <w:wordWrap/>
        <w:overflowPunct/>
        <w:topLinePunct w:val="0"/>
        <w:autoSpaceDE/>
        <w:autoSpaceDN/>
        <w:bidi w:val="0"/>
        <w:adjustRightInd/>
        <w:snapToGrid/>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 xml:space="preserve">判断题 </w:t>
      </w:r>
      <w:r>
        <w:rPr>
          <w:rFonts w:hint="eastAsia" w:ascii="宋体" w:hAnsi="宋体" w:eastAsia="宋体" w:cs="宋体"/>
          <w:b/>
          <w:bCs/>
          <w:sz w:val="24"/>
          <w:szCs w:val="24"/>
          <w:lang w:eastAsia="zh-CN"/>
        </w:rPr>
        <w:t>（共</w:t>
      </w:r>
      <w:r>
        <w:rPr>
          <w:rFonts w:hint="eastAsia" w:ascii="宋体" w:hAnsi="宋体" w:eastAsia="宋体" w:cs="宋体"/>
          <w:b/>
          <w:bCs/>
          <w:sz w:val="24"/>
          <w:szCs w:val="24"/>
          <w:lang w:val="en-US" w:eastAsia="zh-CN"/>
        </w:rPr>
        <w:t>10分</w:t>
      </w:r>
      <w:r>
        <w:rPr>
          <w:rFonts w:hint="eastAsia" w:ascii="宋体" w:hAnsi="宋体" w:eastAsia="宋体" w:cs="宋体"/>
          <w:b/>
          <w:bCs/>
          <w:sz w:val="24"/>
          <w:szCs w:val="24"/>
          <w:lang w:eastAsia="zh-CN"/>
        </w:rPr>
        <w:t>）</w:t>
      </w:r>
      <w:r>
        <w:rPr>
          <w:rFonts w:hint="eastAsia" w:ascii="宋体" w:hAnsi="宋体" w:eastAsia="宋体" w:cs="宋体"/>
          <w:b/>
          <w:bCs/>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1因为透射光和吸收光按一定比例混合而成白光，故称这两种光为互补色光。</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2有色物质溶液只能对可见光范围内的某段波长的光有吸收。(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3符合朗伯-比耳定律的某有色溶液的浓度越低，其透光率越小。(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4符合比耳定律的有色溶液稀释时，其最大吸收峰的波长位置不移动，但吸收峰降低。(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5朗伯-比耳定律的物理意义是：当一束平行单色光通过均匀的有色溶液时，溶液是吸光度与吸光物质是浓度和液层厚度的乘积成正比。(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6吸光系数与入射光波长及溶液浓度有关。(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7有色溶液的透光度随着溶液浓度的增大而减小,所以透光度与溶液的浓度成反比关系(</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8进行吸光光度法测定时，必须选择最大吸收波长的光作入射光。(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9朗伯-比耳定律只适用于单色光，入射光的波长范围越狭窄，吸光光度测定的准确度越高。(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10吸光光度法中所用的参比溶液总是采用不含被测物质和显色剂的空白溶液</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三</w:t>
      </w:r>
      <w:r>
        <w:rPr>
          <w:rFonts w:hint="eastAsia" w:ascii="宋体" w:hAnsi="宋体" w:eastAsia="宋体" w:cs="宋体"/>
          <w:b/>
          <w:bCs/>
          <w:sz w:val="24"/>
          <w:szCs w:val="24"/>
          <w:lang w:eastAsia="zh-CN"/>
        </w:rPr>
        <w:t>、</w:t>
      </w:r>
      <w:r>
        <w:rPr>
          <w:rFonts w:hint="eastAsia" w:ascii="宋体" w:hAnsi="宋体" w:eastAsia="宋体" w:cs="宋体"/>
          <w:b/>
          <w:bCs/>
          <w:sz w:val="24"/>
          <w:szCs w:val="24"/>
        </w:rPr>
        <w:t>填空题</w:t>
      </w:r>
      <w:r>
        <w:rPr>
          <w:rFonts w:hint="eastAsia" w:ascii="宋体" w:hAnsi="宋体" w:eastAsia="宋体" w:cs="宋体"/>
          <w:b/>
          <w:bCs/>
          <w:sz w:val="24"/>
          <w:szCs w:val="24"/>
          <w:lang w:eastAsia="zh-CN"/>
        </w:rPr>
        <w:t>（每空</w:t>
      </w:r>
      <w:r>
        <w:rPr>
          <w:rFonts w:hint="eastAsia" w:ascii="宋体" w:hAnsi="宋体" w:eastAsia="宋体" w:cs="宋体"/>
          <w:b/>
          <w:bCs/>
          <w:sz w:val="24"/>
          <w:szCs w:val="24"/>
          <w:lang w:val="en-US" w:eastAsia="zh-CN"/>
        </w:rPr>
        <w:t>1分，共20分</w:t>
      </w:r>
      <w:r>
        <w:rPr>
          <w:rFonts w:hint="eastAsia" w:ascii="宋体" w:hAnsi="宋体" w:eastAsia="宋体" w:cs="宋体"/>
          <w:b/>
          <w:bCs/>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1吸收曲线又称吸收光谱，是以</w:t>
      </w:r>
      <w:r>
        <w:rPr>
          <w:rFonts w:hint="eastAsia" w:ascii="宋体" w:hAnsi="宋体" w:eastAsia="宋体" w:cs="宋体"/>
          <w:sz w:val="24"/>
          <w:szCs w:val="24"/>
          <w:u w:val="single"/>
        </w:rPr>
        <w:t xml:space="preserve">            </w:t>
      </w:r>
      <w:r>
        <w:rPr>
          <w:rFonts w:hint="eastAsia" w:ascii="宋体" w:hAnsi="宋体" w:eastAsia="宋体" w:cs="宋体"/>
          <w:sz w:val="24"/>
          <w:szCs w:val="24"/>
        </w:rPr>
        <w:t>为横坐标，以</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为纵坐标所描绘的曲线。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2按照比耳定律，浓度C与吸光度A之 间的关系应是一条通过原点的直线，事实上容易发生线性偏离，导致偏离的原因有</w:t>
      </w:r>
      <w:r>
        <w:rPr>
          <w:rFonts w:hint="eastAsia" w:ascii="宋体" w:hAnsi="宋体" w:eastAsia="宋体" w:cs="宋体"/>
          <w:sz w:val="24"/>
          <w:szCs w:val="24"/>
          <w:u w:val="single"/>
        </w:rPr>
        <w:t xml:space="preserve">            </w:t>
      </w:r>
      <w:r>
        <w:rPr>
          <w:rFonts w:hint="eastAsia" w:ascii="宋体" w:hAnsi="宋体" w:eastAsia="宋体" w:cs="宋体"/>
          <w:sz w:val="24"/>
          <w:szCs w:val="24"/>
        </w:rPr>
        <w:t>和</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两大因素。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3影响有色配合物的摩尔吸光系数的原因是</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4某一有色溶液在一定波长下用2cm比色皿测得其透光率为60%，若在相同条件下改用1cm比色皿测定时，透光度为</w:t>
      </w:r>
      <w:r>
        <w:rPr>
          <w:rFonts w:hint="eastAsia" w:ascii="宋体" w:hAnsi="宋体" w:eastAsia="宋体" w:cs="宋体"/>
          <w:sz w:val="24"/>
          <w:szCs w:val="24"/>
          <w:u w:val="single"/>
        </w:rPr>
        <w:t xml:space="preserve">           </w:t>
      </w:r>
      <w:r>
        <w:rPr>
          <w:rFonts w:hint="eastAsia" w:ascii="宋体" w:hAnsi="宋体" w:eastAsia="宋体" w:cs="宋体"/>
          <w:sz w:val="24"/>
          <w:szCs w:val="24"/>
        </w:rPr>
        <w:t>；若用3cm比色皿测定时，吸光度为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5吸光光度法测量时，通常选择</w:t>
      </w:r>
      <w:r>
        <w:rPr>
          <w:rFonts w:hint="eastAsia" w:ascii="宋体" w:hAnsi="宋体" w:eastAsia="宋体" w:cs="宋体"/>
          <w:sz w:val="24"/>
          <w:szCs w:val="24"/>
          <w:u w:val="single"/>
        </w:rPr>
        <w:t xml:space="preserve">               </w:t>
      </w:r>
      <w:r>
        <w:rPr>
          <w:rFonts w:hint="eastAsia" w:ascii="宋体" w:hAnsi="宋体" w:eastAsia="宋体" w:cs="宋体"/>
          <w:sz w:val="24"/>
          <w:szCs w:val="24"/>
        </w:rPr>
        <w:t>作测定波长，此时，试样溶液浓度的较小变化将使吸光度产生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改变。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6吸光光度法对显色反应的要求有（1）</w:t>
      </w:r>
      <w:r>
        <w:rPr>
          <w:rFonts w:hint="eastAsia" w:ascii="宋体" w:hAnsi="宋体" w:eastAsia="宋体" w:cs="宋体"/>
          <w:sz w:val="24"/>
          <w:szCs w:val="24"/>
          <w:u w:val="single"/>
        </w:rPr>
        <w:t xml:space="preserve">            </w:t>
      </w:r>
      <w:r>
        <w:rPr>
          <w:rFonts w:hint="eastAsia" w:ascii="宋体" w:hAnsi="宋体" w:eastAsia="宋体" w:cs="宋体"/>
          <w:sz w:val="24"/>
          <w:szCs w:val="24"/>
        </w:rPr>
        <w:t>，（2）</w:t>
      </w:r>
      <w:r>
        <w:rPr>
          <w:rFonts w:hint="eastAsia" w:ascii="宋体" w:hAnsi="宋体" w:eastAsia="宋体" w:cs="宋体"/>
          <w:sz w:val="24"/>
          <w:szCs w:val="24"/>
          <w:u w:val="single"/>
        </w:rPr>
        <w:t xml:space="preserve">          </w:t>
      </w:r>
      <w:r>
        <w:rPr>
          <w:rFonts w:hint="eastAsia" w:ascii="宋体" w:hAnsi="宋体" w:eastAsia="宋体" w:cs="宋体"/>
          <w:sz w:val="24"/>
          <w:szCs w:val="24"/>
        </w:rPr>
        <w:t>，（3）</w:t>
      </w:r>
      <w:r>
        <w:rPr>
          <w:rFonts w:hint="eastAsia" w:ascii="宋体" w:hAnsi="宋体" w:eastAsia="宋体" w:cs="宋体"/>
          <w:sz w:val="24"/>
          <w:szCs w:val="24"/>
          <w:u w:val="single"/>
        </w:rPr>
        <w:t xml:space="preserve">          </w:t>
      </w:r>
      <w:r>
        <w:rPr>
          <w:rFonts w:hint="eastAsia" w:ascii="宋体" w:hAnsi="宋体" w:eastAsia="宋体" w:cs="宋体"/>
          <w:sz w:val="24"/>
          <w:szCs w:val="24"/>
        </w:rPr>
        <w:t>，（4）</w:t>
      </w:r>
      <w:r>
        <w:rPr>
          <w:rFonts w:hint="eastAsia" w:ascii="宋体" w:hAnsi="宋体" w:eastAsia="宋体" w:cs="宋体"/>
          <w:sz w:val="24"/>
          <w:szCs w:val="24"/>
          <w:u w:val="single"/>
        </w:rPr>
        <w:t xml:space="preserve">                    </w:t>
      </w:r>
      <w:r>
        <w:rPr>
          <w:rFonts w:hint="eastAsia" w:ascii="宋体" w:hAnsi="宋体" w:eastAsia="宋体" w:cs="宋体"/>
          <w:sz w:val="24"/>
          <w:szCs w:val="24"/>
        </w:rPr>
        <w:t>（5）</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7分光光度计的种类型号繁多，但都是由下列基本部件组成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8通常把有色物质与显色剂的最大吸收波长之差Δλmax称</w:t>
      </w:r>
      <w:r>
        <w:rPr>
          <w:rFonts w:hint="eastAsia" w:ascii="宋体" w:hAnsi="宋体" w:eastAsia="宋体" w:cs="宋体"/>
          <w:sz w:val="24"/>
          <w:szCs w:val="24"/>
          <w:u w:val="single"/>
        </w:rPr>
        <w:t xml:space="preserve">         </w:t>
      </w:r>
      <w:r>
        <w:rPr>
          <w:rFonts w:hint="eastAsia" w:ascii="宋体" w:hAnsi="宋体" w:eastAsia="宋体" w:cs="宋体"/>
          <w:sz w:val="24"/>
          <w:szCs w:val="24"/>
        </w:rPr>
        <w:t>、吸光光度分析要求Δλmax≈</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nm。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4"/>
          <w:szCs w:val="24"/>
        </w:rPr>
      </w:pPr>
    </w:p>
    <w:p>
      <w:pPr>
        <w:keepNext w:val="0"/>
        <w:keepLines w:val="0"/>
        <w:pageBreakBefore w:val="0"/>
        <w:widowControl w:val="0"/>
        <w:numPr>
          <w:ilvl w:val="0"/>
          <w:numId w:val="8"/>
        </w:numPr>
        <w:kinsoku/>
        <w:wordWrap/>
        <w:overflowPunct/>
        <w:topLinePunct w:val="0"/>
        <w:autoSpaceDE/>
        <w:autoSpaceDN/>
        <w:bidi w:val="0"/>
        <w:adjustRightInd/>
        <w:snapToGrid/>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问答题</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1、2题5分，3题10分，共20分</w:t>
      </w:r>
      <w:r>
        <w:rPr>
          <w:rFonts w:hint="eastAsia" w:ascii="宋体" w:hAnsi="宋体" w:eastAsia="宋体" w:cs="宋体"/>
          <w:b/>
          <w:bCs/>
          <w:sz w:val="24"/>
          <w:szCs w:val="24"/>
          <w:lang w:eastAsia="zh-CN"/>
        </w:rPr>
        <w:t>）</w:t>
      </w:r>
    </w:p>
    <w:p>
      <w:pPr>
        <w:keepNext w:val="0"/>
        <w:keepLines w:val="0"/>
        <w:pageBreakBefore w:val="0"/>
        <w:widowControl w:val="0"/>
        <w:numPr>
          <w:ilvl w:val="0"/>
          <w:numId w:val="9"/>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Lamber-Beer定律的物理意义是什么？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10"/>
        </w:numPr>
        <w:tabs>
          <w:tab w:val="clear" w:pos="312"/>
        </w:tabs>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摩尔吸光系数ε的物理意义是什么？它和哪些因素有关？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3.什么是吸收曲线？有何实际意义？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11"/>
        </w:numPr>
        <w:kinsoku/>
        <w:wordWrap/>
        <w:overflowPunct/>
        <w:topLinePunct w:val="0"/>
        <w:autoSpaceDE/>
        <w:autoSpaceDN/>
        <w:bidi w:val="0"/>
        <w:adjustRightInd/>
        <w:snapToGrid/>
        <w:jc w:val="left"/>
        <w:textAlignment w:val="auto"/>
        <w:rPr>
          <w:rFonts w:hint="eastAsia" w:ascii="宋体" w:hAnsi="宋体" w:eastAsia="宋体" w:cs="宋体"/>
          <w:b/>
          <w:bCs/>
          <w:sz w:val="24"/>
          <w:szCs w:val="24"/>
        </w:rPr>
      </w:pPr>
      <w:bookmarkStart w:id="0" w:name="_GoBack"/>
      <w:r>
        <w:rPr>
          <w:rFonts w:hint="eastAsia" w:ascii="宋体" w:hAnsi="宋体" w:eastAsia="宋体" w:cs="宋体"/>
          <w:b/>
          <w:bCs/>
          <w:sz w:val="24"/>
          <w:szCs w:val="24"/>
        </w:rPr>
        <w:t xml:space="preserve">计算题 </w:t>
      </w:r>
      <w:r>
        <w:rPr>
          <w:rFonts w:hint="eastAsia" w:ascii="宋体" w:hAnsi="宋体" w:eastAsia="宋体" w:cs="宋体"/>
          <w:b/>
          <w:bCs/>
          <w:sz w:val="24"/>
          <w:szCs w:val="24"/>
          <w:lang w:eastAsia="zh-CN"/>
        </w:rPr>
        <w:t>（每题</w:t>
      </w:r>
      <w:r>
        <w:rPr>
          <w:rFonts w:hint="eastAsia" w:ascii="宋体" w:hAnsi="宋体" w:eastAsia="宋体" w:cs="宋体"/>
          <w:b/>
          <w:bCs/>
          <w:sz w:val="24"/>
          <w:szCs w:val="24"/>
          <w:lang w:val="en-US" w:eastAsia="zh-CN"/>
        </w:rPr>
        <w:t>10分，共40分</w:t>
      </w:r>
      <w:r>
        <w:rPr>
          <w:rFonts w:hint="eastAsia" w:ascii="宋体" w:hAnsi="宋体" w:eastAsia="宋体" w:cs="宋体"/>
          <w:b/>
          <w:bCs/>
          <w:sz w:val="24"/>
          <w:szCs w:val="24"/>
          <w:lang w:eastAsia="zh-CN"/>
        </w:rPr>
        <w:t>）</w:t>
      </w:r>
      <w:r>
        <w:rPr>
          <w:rFonts w:hint="eastAsia" w:ascii="宋体" w:hAnsi="宋体" w:eastAsia="宋体" w:cs="宋体"/>
          <w:b/>
          <w:bCs/>
          <w:sz w:val="24"/>
          <w:szCs w:val="24"/>
        </w:rPr>
        <w:t xml:space="preserve"> </w:t>
      </w:r>
    </w:p>
    <w:bookmarkEnd w:id="0"/>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1将下列透光度换算成吸光度  （1）10％       （2）60％        （3）100％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12"/>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某试液用2cm的比色皿测量时，T=60%，若改用1cm或3cm比色皿，T%及A等于多少？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3．5.00×10－5mol·L-1的KMnO4溶液在520nm波长处用2cm比色皿测得吸光度A＝0.224。称取钢样1.00g，溶于酸后，将其中的Mn氧化成MnO4-定容100.00ml后，在上述相同条件下测得吸光度为0.314。求钢样中锰的含量。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r>
        <w:rPr>
          <w:rFonts w:hint="eastAsia" w:ascii="宋体" w:hAnsi="宋体" w:eastAsia="宋体" w:cs="宋体"/>
          <w:sz w:val="24"/>
          <w:szCs w:val="24"/>
        </w:rPr>
        <w:t>4．3360035251005415.Acm.nmKMnOLmol.max=×´--吸收皿测得吸光度处用＝溶液，在l， 计算吸光系数a和摩尔吸光系数ε。</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宋体" w:hAnsi="宋体" w:eastAsia="宋体" w:cs="宋体"/>
          <w:sz w:val="24"/>
          <w:szCs w:val="24"/>
        </w:rPr>
      </w:pPr>
    </w:p>
    <w:sectPr>
      <w:footerReference r:id="rId3" w:type="default"/>
      <w:pgSz w:w="23757" w:h="16783" w:orient="landscape"/>
      <w:pgMar w:top="1800" w:right="1440" w:bottom="1800" w:left="1440" w:header="851" w:footer="992" w:gutter="0"/>
      <w:pgNumType w:fmt="decimal" w:start="1"/>
      <w:cols w:equalWidth="0" w:num="2">
        <w:col w:w="10226" w:space="425"/>
        <w:col w:w="10226"/>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ufGT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E163A"/>
    <w:multiLevelType w:val="singleLevel"/>
    <w:tmpl w:val="5A1E163A"/>
    <w:lvl w:ilvl="0" w:tentative="0">
      <w:start w:val="1"/>
      <w:numFmt w:val="chineseCounting"/>
      <w:suff w:val="nothing"/>
      <w:lvlText w:val="%1、"/>
      <w:lvlJc w:val="left"/>
    </w:lvl>
  </w:abstractNum>
  <w:abstractNum w:abstractNumId="1">
    <w:nsid w:val="5A1E1649"/>
    <w:multiLevelType w:val="singleLevel"/>
    <w:tmpl w:val="5A1E1649"/>
    <w:lvl w:ilvl="0" w:tentative="0">
      <w:start w:val="1"/>
      <w:numFmt w:val="decimal"/>
      <w:lvlText w:val="%1."/>
      <w:lvlJc w:val="left"/>
      <w:pPr>
        <w:tabs>
          <w:tab w:val="left" w:pos="312"/>
        </w:tabs>
      </w:pPr>
    </w:lvl>
  </w:abstractNum>
  <w:abstractNum w:abstractNumId="2">
    <w:nsid w:val="5A1E166A"/>
    <w:multiLevelType w:val="singleLevel"/>
    <w:tmpl w:val="5A1E166A"/>
    <w:lvl w:ilvl="0" w:tentative="0">
      <w:start w:val="3"/>
      <w:numFmt w:val="decimal"/>
      <w:lvlText w:val="%1."/>
      <w:lvlJc w:val="left"/>
      <w:pPr>
        <w:tabs>
          <w:tab w:val="left" w:pos="312"/>
        </w:tabs>
      </w:pPr>
    </w:lvl>
  </w:abstractNum>
  <w:abstractNum w:abstractNumId="3">
    <w:nsid w:val="5A1E1695"/>
    <w:multiLevelType w:val="singleLevel"/>
    <w:tmpl w:val="5A1E1695"/>
    <w:lvl w:ilvl="0" w:tentative="0">
      <w:start w:val="4"/>
      <w:numFmt w:val="decimal"/>
      <w:lvlText w:val="%1."/>
      <w:lvlJc w:val="left"/>
      <w:pPr>
        <w:tabs>
          <w:tab w:val="left" w:pos="312"/>
        </w:tabs>
      </w:pPr>
    </w:lvl>
  </w:abstractNum>
  <w:abstractNum w:abstractNumId="4">
    <w:nsid w:val="5A1E16B2"/>
    <w:multiLevelType w:val="singleLevel"/>
    <w:tmpl w:val="5A1E16B2"/>
    <w:lvl w:ilvl="0" w:tentative="0">
      <w:start w:val="5"/>
      <w:numFmt w:val="decimal"/>
      <w:lvlText w:val="%1."/>
      <w:lvlJc w:val="left"/>
      <w:pPr>
        <w:tabs>
          <w:tab w:val="left" w:pos="312"/>
        </w:tabs>
      </w:pPr>
    </w:lvl>
  </w:abstractNum>
  <w:abstractNum w:abstractNumId="5">
    <w:nsid w:val="5A1E16D3"/>
    <w:multiLevelType w:val="singleLevel"/>
    <w:tmpl w:val="5A1E16D3"/>
    <w:lvl w:ilvl="0" w:tentative="0">
      <w:start w:val="7"/>
      <w:numFmt w:val="decimal"/>
      <w:lvlText w:val="%1."/>
      <w:lvlJc w:val="left"/>
      <w:pPr>
        <w:tabs>
          <w:tab w:val="left" w:pos="312"/>
        </w:tabs>
      </w:pPr>
    </w:lvl>
  </w:abstractNum>
  <w:abstractNum w:abstractNumId="6">
    <w:nsid w:val="5A1E16F4"/>
    <w:multiLevelType w:val="singleLevel"/>
    <w:tmpl w:val="5A1E16F4"/>
    <w:lvl w:ilvl="0" w:tentative="0">
      <w:start w:val="9"/>
      <w:numFmt w:val="decimal"/>
      <w:lvlText w:val="%1."/>
      <w:lvlJc w:val="left"/>
      <w:pPr>
        <w:tabs>
          <w:tab w:val="left" w:pos="312"/>
        </w:tabs>
      </w:pPr>
    </w:lvl>
  </w:abstractNum>
  <w:abstractNum w:abstractNumId="7">
    <w:nsid w:val="5A1E1828"/>
    <w:multiLevelType w:val="singleLevel"/>
    <w:tmpl w:val="5A1E1828"/>
    <w:lvl w:ilvl="0" w:tentative="0">
      <w:start w:val="4"/>
      <w:numFmt w:val="chineseCounting"/>
      <w:suff w:val="nothing"/>
      <w:lvlText w:val="%1、"/>
      <w:lvlJc w:val="left"/>
    </w:lvl>
  </w:abstractNum>
  <w:abstractNum w:abstractNumId="8">
    <w:nsid w:val="5A1E1836"/>
    <w:multiLevelType w:val="singleLevel"/>
    <w:tmpl w:val="5A1E1836"/>
    <w:lvl w:ilvl="0" w:tentative="0">
      <w:start w:val="1"/>
      <w:numFmt w:val="decimal"/>
      <w:suff w:val="nothing"/>
      <w:lvlText w:val="%1．"/>
      <w:lvlJc w:val="left"/>
    </w:lvl>
  </w:abstractNum>
  <w:abstractNum w:abstractNumId="9">
    <w:nsid w:val="5A1E184A"/>
    <w:multiLevelType w:val="singleLevel"/>
    <w:tmpl w:val="5A1E184A"/>
    <w:lvl w:ilvl="0" w:tentative="0">
      <w:start w:val="2"/>
      <w:numFmt w:val="decimal"/>
      <w:lvlText w:val="%1."/>
      <w:lvlJc w:val="left"/>
      <w:pPr>
        <w:tabs>
          <w:tab w:val="left" w:pos="312"/>
        </w:tabs>
      </w:pPr>
    </w:lvl>
  </w:abstractNum>
  <w:abstractNum w:abstractNumId="10">
    <w:nsid w:val="5A1E1860"/>
    <w:multiLevelType w:val="singleLevel"/>
    <w:tmpl w:val="5A1E1860"/>
    <w:lvl w:ilvl="0" w:tentative="0">
      <w:start w:val="5"/>
      <w:numFmt w:val="chineseCounting"/>
      <w:suff w:val="nothing"/>
      <w:lvlText w:val="%1、"/>
      <w:lvlJc w:val="left"/>
    </w:lvl>
  </w:abstractNum>
  <w:abstractNum w:abstractNumId="11">
    <w:nsid w:val="5A1E187A"/>
    <w:multiLevelType w:val="singleLevel"/>
    <w:tmpl w:val="5A1E187A"/>
    <w:lvl w:ilvl="0" w:tentative="0">
      <w:start w:val="2"/>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7F7A56"/>
    <w:rsid w:val="40674E24"/>
    <w:rsid w:val="657F7A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5"/>
    <w:basedOn w:val="1"/>
    <w:next w:val="1"/>
    <w:qFormat/>
    <w:uiPriority w:val="0"/>
    <w:pPr>
      <w:keepNext/>
      <w:keepLines/>
      <w:spacing w:before="280" w:after="290" w:line="376" w:lineRule="auto"/>
      <w:outlineLvl w:val="4"/>
    </w:pPr>
    <w:rPr>
      <w:b/>
      <w:bCs/>
      <w:sz w:val="28"/>
      <w:szCs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2017-11-29T02:02:00Z</dcterms:created>
  <dc:creator>samsung</dc:creator>
  <cp:lastModifiedBy>东莞卫培教育谢老师</cp:lastModifiedBy>
  <dcterms:modified xsi:type="dcterms:W3CDTF">2019-11-22T02:51:00Z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